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48D" w:rsidRPr="0030148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2020 № 175-УГ, от 12.04.2020 № 176-УГ),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«фан-зоны»,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B877DF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мест и (или) посадочных мест защитными экранами или зонирующими перегородками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3A1663">
        <w:rPr>
          <w:rFonts w:ascii="Times New Roman" w:hAnsi="Times New Roman" w:cs="Times New Roman"/>
          <w:sz w:val="28"/>
          <w:szCs w:val="28"/>
        </w:rPr>
        <w:t>9 ноября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 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с 27 октября по 9 ноября 2020 года,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до получения отрицательного результата лабораторного исследования на новую коронавирусную инфекцию (2019-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>8) обеспечить систематическое информирование работников о мерах профилактики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), создать атмосферу нетерпимости к нарушению санитарно-эпидемиологических требований по защите от распространения новой короновирусной инфекции(2019-</w:t>
      </w:r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Т.А.,  Полывода Л.А., Фомина Н.П., Шашмурина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(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Pr="003A1663" w:rsidRDefault="003A1663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63">
        <w:rPr>
          <w:rFonts w:ascii="Times New Roman" w:eastAsia="Times New Roman" w:hAnsi="Times New Roman" w:cs="Times New Roman"/>
          <w:sz w:val="28"/>
          <w:szCs w:val="28"/>
        </w:rPr>
        <w:t>13-1. Рекомендовать руководителям общеобразовательных учреждений городского округа Пелым увеличить продолжительность осенних каникул в общеобразовательных учреждениях городского округа Пелым  до 09 ноября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A1663"/>
    <w:rsid w:val="003B1EAC"/>
    <w:rsid w:val="003B7224"/>
    <w:rsid w:val="003C7756"/>
    <w:rsid w:val="003D6EE5"/>
    <w:rsid w:val="003D747C"/>
    <w:rsid w:val="003E54F1"/>
    <w:rsid w:val="003F74DD"/>
    <w:rsid w:val="00402DD6"/>
    <w:rsid w:val="00422A34"/>
    <w:rsid w:val="00425EE2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877D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B579-DE7A-45DE-AB2E-A2C2488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37</cp:revision>
  <cp:lastPrinted>2020-10-06T04:44:00Z</cp:lastPrinted>
  <dcterms:created xsi:type="dcterms:W3CDTF">2020-06-15T04:52:00Z</dcterms:created>
  <dcterms:modified xsi:type="dcterms:W3CDTF">2020-11-02T08:16:00Z</dcterms:modified>
</cp:coreProperties>
</file>