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0015" w:rsidP="00800015">
      <w:pPr>
        <w:jc w:val="center"/>
        <w:rPr>
          <w:rFonts w:ascii="Times New Roman" w:hAnsi="Times New Roman" w:cs="Times New Roman"/>
          <w:color w:val="303F50"/>
          <w:sz w:val="24"/>
          <w:szCs w:val="24"/>
          <w:shd w:val="clear" w:color="auto" w:fill="FFFFFF"/>
        </w:rPr>
      </w:pPr>
      <w:r w:rsidRPr="00800015">
        <w:rPr>
          <w:rFonts w:ascii="Times New Roman" w:hAnsi="Times New Roman" w:cs="Times New Roman"/>
          <w:color w:val="303F50"/>
          <w:sz w:val="24"/>
          <w:szCs w:val="24"/>
          <w:shd w:val="clear" w:color="auto" w:fill="FFFFFF"/>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00015" w:rsidRPr="00800015" w:rsidRDefault="00800015" w:rsidP="00800015">
      <w:pPr>
        <w:spacing w:after="240" w:line="240" w:lineRule="auto"/>
        <w:jc w:val="right"/>
        <w:rPr>
          <w:rFonts w:ascii="Arial" w:eastAsia="Times New Roman" w:hAnsi="Arial" w:cs="Arial"/>
          <w:color w:val="666666"/>
          <w:sz w:val="21"/>
          <w:szCs w:val="21"/>
        </w:rPr>
      </w:pPr>
      <w:r w:rsidRPr="00800015">
        <w:rPr>
          <w:rFonts w:ascii="Arial" w:eastAsia="Times New Roman" w:hAnsi="Arial" w:cs="Arial"/>
          <w:color w:val="666666"/>
          <w:sz w:val="21"/>
          <w:szCs w:val="21"/>
        </w:rPr>
        <w:t>Председатель Правительства</w:t>
      </w:r>
      <w:r w:rsidRPr="00800015">
        <w:rPr>
          <w:rFonts w:ascii="Arial" w:eastAsia="Times New Roman" w:hAnsi="Arial" w:cs="Arial"/>
          <w:color w:val="666666"/>
          <w:sz w:val="21"/>
          <w:szCs w:val="21"/>
        </w:rPr>
        <w:br/>
        <w:t>Российской Федерации</w:t>
      </w:r>
      <w:r w:rsidRPr="00800015">
        <w:rPr>
          <w:rFonts w:ascii="Arial" w:eastAsia="Times New Roman" w:hAnsi="Arial" w:cs="Arial"/>
          <w:color w:val="666666"/>
          <w:sz w:val="21"/>
          <w:szCs w:val="21"/>
        </w:rPr>
        <w:br/>
        <w:t>В.Путин</w:t>
      </w:r>
    </w:p>
    <w:p w:rsidR="00800015" w:rsidRPr="00800015" w:rsidRDefault="00800015" w:rsidP="00800015">
      <w:pPr>
        <w:spacing w:after="240" w:line="240" w:lineRule="auto"/>
        <w:jc w:val="right"/>
        <w:rPr>
          <w:rFonts w:ascii="Arial" w:eastAsia="Times New Roman" w:hAnsi="Arial" w:cs="Arial"/>
          <w:color w:val="666666"/>
          <w:sz w:val="21"/>
          <w:szCs w:val="21"/>
        </w:rPr>
      </w:pPr>
      <w:r w:rsidRPr="00800015">
        <w:rPr>
          <w:rFonts w:ascii="Arial" w:eastAsia="Times New Roman" w:hAnsi="Arial" w:cs="Arial"/>
          <w:color w:val="666666"/>
          <w:sz w:val="21"/>
          <w:szCs w:val="21"/>
        </w:rPr>
        <w:br/>
        <w:t>УТВЕРЖДЕНЫ</w:t>
      </w:r>
      <w:r w:rsidRPr="00800015">
        <w:rPr>
          <w:rFonts w:ascii="Arial" w:eastAsia="Times New Roman" w:hAnsi="Arial" w:cs="Arial"/>
          <w:color w:val="666666"/>
          <w:sz w:val="21"/>
          <w:szCs w:val="21"/>
        </w:rPr>
        <w:br/>
        <w:t>постановлением Правительства</w:t>
      </w:r>
      <w:r w:rsidRPr="00800015">
        <w:rPr>
          <w:rFonts w:ascii="Arial" w:eastAsia="Times New Roman" w:hAnsi="Arial" w:cs="Arial"/>
          <w:color w:val="666666"/>
          <w:sz w:val="21"/>
          <w:szCs w:val="21"/>
        </w:rPr>
        <w:br/>
        <w:t>Российской Федерации</w:t>
      </w:r>
      <w:r w:rsidRPr="00800015">
        <w:rPr>
          <w:rFonts w:ascii="Arial" w:eastAsia="Times New Roman" w:hAnsi="Arial" w:cs="Arial"/>
          <w:color w:val="666666"/>
          <w:sz w:val="21"/>
          <w:szCs w:val="21"/>
        </w:rPr>
        <w:br/>
        <w:t>от 16 ноября 2009 года N 934</w:t>
      </w:r>
      <w:r w:rsidRPr="00800015">
        <w:rPr>
          <w:rFonts w:ascii="Arial" w:eastAsia="Times New Roman" w:hAnsi="Arial" w:cs="Arial"/>
          <w:color w:val="666666"/>
          <w:sz w:val="21"/>
          <w:szCs w:val="21"/>
        </w:rPr>
        <w:br/>
      </w:r>
    </w:p>
    <w:p w:rsidR="00800015" w:rsidRPr="00800015" w:rsidRDefault="00800015" w:rsidP="00800015">
      <w:pPr>
        <w:spacing w:after="290" w:line="240" w:lineRule="auto"/>
        <w:jc w:val="center"/>
        <w:rPr>
          <w:rFonts w:ascii="Arial" w:eastAsia="Times New Roman" w:hAnsi="Arial" w:cs="Arial"/>
          <w:b/>
          <w:bCs/>
          <w:color w:val="666666"/>
          <w:sz w:val="29"/>
          <w:szCs w:val="29"/>
        </w:rPr>
      </w:pPr>
      <w:r w:rsidRPr="00800015">
        <w:rPr>
          <w:rFonts w:ascii="Arial" w:eastAsia="Times New Roman" w:hAnsi="Arial" w:cs="Arial"/>
          <w:b/>
          <w:bCs/>
          <w:color w:val="666666"/>
          <w:sz w:val="29"/>
          <w:szCs w:val="29"/>
        </w:rPr>
        <w:t>Правила возмещения вреда, причиняемого транспортными средствами, осуществляющими перевозки тяжеловесных грузов</w:t>
      </w:r>
      <w:r w:rsidRPr="00800015">
        <w:rPr>
          <w:rFonts w:ascii="Arial" w:eastAsia="Times New Roman" w:hAnsi="Arial" w:cs="Arial"/>
          <w:b/>
          <w:bCs/>
          <w:color w:val="666666"/>
          <w:sz w:val="29"/>
          <w:szCs w:val="29"/>
        </w:rPr>
        <w:br/>
      </w:r>
    </w:p>
    <w:p w:rsidR="00800015" w:rsidRPr="00800015" w:rsidRDefault="00800015" w:rsidP="00800015">
      <w:pPr>
        <w:spacing w:after="24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     1. Настоящие Правила устанавливают порядок возмещения владельцами транспортных средств, осуществляющих перевозки тяжеловесных грузов по автомобильным дорогам в Российской Федерации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2. Вред, причиняемый автомобильным дорогам транспортными средствами (далее - вред), подлежит возмещению владельцами транспортных средств.</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Внесение платы в счет возмещения вреда осуществляется при оформлении специального разрешения на движение транспортных средств.</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xml:space="preserve">     3. </w:t>
      </w:r>
      <w:proofErr w:type="gramStart"/>
      <w:r w:rsidRPr="00800015">
        <w:rPr>
          <w:rFonts w:ascii="Arial" w:eastAsia="Times New Roman" w:hAnsi="Arial" w:cs="Arial"/>
          <w:color w:val="666666"/>
          <w:sz w:val="21"/>
          <w:szCs w:val="21"/>
        </w:rPr>
        <w:t>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движения транспортного средства.</w:t>
      </w:r>
      <w:proofErr w:type="gramEnd"/>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Порядок взаимодействия указанных органов и лиц по вопросам расчета, начисления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на движение по автомобильным дорогам транспортного средства.</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Расчет платы в счет возмещения вреда осуществляется на безвозмездной основе.</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xml:space="preserve">     5. </w:t>
      </w:r>
      <w:proofErr w:type="gramStart"/>
      <w:r w:rsidRPr="00800015">
        <w:rPr>
          <w:rFonts w:ascii="Arial" w:eastAsia="Times New Roman" w:hAnsi="Arial" w:cs="Arial"/>
          <w:color w:val="666666"/>
          <w:sz w:val="21"/>
          <w:szCs w:val="21"/>
        </w:rPr>
        <w:t>Размер платы в счет возмещения вреда определяется в зависимости от:</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а) превышения установленных правилами перевозки грузов автомобильным транспортом, утверждаемыми Правительством Российской Федерации, значений:</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lastRenderedPageBreak/>
        <w:br/>
        <w:t>     предельно допустимой массы транспортного средства;</w:t>
      </w:r>
      <w:proofErr w:type="gramEnd"/>
    </w:p>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     </w:t>
      </w:r>
      <w:proofErr w:type="gramStart"/>
      <w:r w:rsidRPr="00800015">
        <w:rPr>
          <w:rFonts w:ascii="Arial" w:eastAsia="Times New Roman" w:hAnsi="Arial" w:cs="Arial"/>
          <w:color w:val="666666"/>
          <w:sz w:val="21"/>
          <w:szCs w:val="21"/>
        </w:rPr>
        <w:t>предельно допустимых осевых нагрузок транспортного средства;</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в)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roofErr w:type="gramEnd"/>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г) базового компенсационного индекса текущего года.</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r w:rsidRPr="00800015">
        <w:rPr>
          <w:rFonts w:ascii="Arial" w:eastAsia="Times New Roman" w:hAnsi="Arial" w:cs="Arial"/>
          <w:color w:val="666666"/>
          <w:sz w:val="21"/>
          <w:szCs w:val="21"/>
        </w:rPr>
        <w:br/>
        <w:t>     </w:t>
      </w:r>
    </w:p>
    <w:p w:rsidR="00800015" w:rsidRPr="00800015" w:rsidRDefault="00800015" w:rsidP="00800015">
      <w:pPr>
        <w:spacing w:after="0" w:line="240" w:lineRule="auto"/>
        <w:jc w:val="center"/>
        <w:rPr>
          <w:rFonts w:ascii="Arial" w:eastAsia="Times New Roman" w:hAnsi="Arial" w:cs="Arial"/>
          <w:color w:val="666666"/>
          <w:sz w:val="21"/>
          <w:szCs w:val="21"/>
        </w:rPr>
      </w:pPr>
      <w:r>
        <w:rPr>
          <w:rFonts w:ascii="Arial" w:eastAsia="Times New Roman" w:hAnsi="Arial" w:cs="Arial"/>
          <w:noProof/>
          <w:color w:val="666666"/>
          <w:sz w:val="21"/>
          <w:szCs w:val="21"/>
        </w:rPr>
        <w:drawing>
          <wp:inline distT="0" distB="0" distL="0" distR="0">
            <wp:extent cx="3238500" cy="238125"/>
            <wp:effectExtent l="19050" t="0" r="0" b="0"/>
            <wp:docPr id="1" name="Рисунок 1" descr="http://ati.su/documents/HTMLDocs/Laws/9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su/documents/HTMLDocs/Laws/934/6.gif"/>
                    <pic:cNvPicPr>
                      <a:picLocks noChangeAspect="1" noChangeArrowheads="1"/>
                    </pic:cNvPicPr>
                  </pic:nvPicPr>
                  <pic:blipFill>
                    <a:blip r:embed="rId4"/>
                    <a:srcRect/>
                    <a:stretch>
                      <a:fillRect/>
                    </a:stretch>
                  </pic:blipFill>
                  <pic:spPr bwMode="auto">
                    <a:xfrm>
                      <a:off x="0" y="0"/>
                      <a:ext cx="3238500" cy="238125"/>
                    </a:xfrm>
                    <a:prstGeom prst="rect">
                      <a:avLst/>
                    </a:prstGeom>
                    <a:noFill/>
                    <a:ln w="9525">
                      <a:noFill/>
                      <a:miter lim="800000"/>
                      <a:headEnd/>
                      <a:tailEnd/>
                    </a:ln>
                  </pic:spPr>
                </pic:pic>
              </a:graphicData>
            </a:graphic>
          </wp:inline>
        </w:drawing>
      </w:r>
    </w:p>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    </w:t>
      </w:r>
    </w:p>
    <w:p w:rsidR="00800015" w:rsidRPr="00800015" w:rsidRDefault="00800015" w:rsidP="00800015">
      <w:pPr>
        <w:spacing w:after="24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     где:</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w:t>
      </w:r>
      <w:r>
        <w:rPr>
          <w:rFonts w:ascii="Arial" w:eastAsia="Times New Roman" w:hAnsi="Arial" w:cs="Arial"/>
          <w:noProof/>
          <w:color w:val="666666"/>
          <w:sz w:val="21"/>
          <w:szCs w:val="21"/>
        </w:rPr>
        <w:drawing>
          <wp:inline distT="0" distB="0" distL="0" distR="0">
            <wp:extent cx="209550" cy="238125"/>
            <wp:effectExtent l="19050" t="0" r="0" b="0"/>
            <wp:docPr id="2" name="Рисунок 2" descr="http://ati.su/documents/HTMLDocs/Laws/93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i.su/documents/HTMLDocs/Laws/934/6.1.gif"/>
                    <pic:cNvPicPr>
                      <a:picLocks noChangeAspect="1" noChangeArrowheads="1"/>
                    </pic:cNvPicPr>
                  </pic:nvPicPr>
                  <pic:blipFill>
                    <a:blip r:embed="rId5"/>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00015">
        <w:rPr>
          <w:rFonts w:ascii="Arial" w:eastAsia="Times New Roman" w:hAnsi="Arial" w:cs="Arial"/>
          <w:color w:val="666666"/>
          <w:sz w:val="21"/>
          <w:szCs w:val="21"/>
        </w:rPr>
        <w:t> - размер платы в счет возмещения вреда участку автомобильной дороги (рублей);</w:t>
      </w:r>
    </w:p>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     </w:t>
      </w:r>
      <w:r>
        <w:rPr>
          <w:rFonts w:ascii="Arial" w:eastAsia="Times New Roman" w:hAnsi="Arial" w:cs="Arial"/>
          <w:noProof/>
          <w:color w:val="666666"/>
          <w:sz w:val="21"/>
          <w:szCs w:val="21"/>
        </w:rPr>
        <w:drawing>
          <wp:inline distT="0" distB="0" distL="0" distR="0">
            <wp:extent cx="257175" cy="209550"/>
            <wp:effectExtent l="19050" t="0" r="9525" b="0"/>
            <wp:docPr id="3" name="Рисунок 3" descr="http://ati.su/documents/HTMLDocs/Laws/93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i.su/documents/HTMLDocs/Laws/934/6.2.gif"/>
                    <pic:cNvPicPr>
                      <a:picLocks noChangeAspect="1" noChangeArrowheads="1"/>
                    </pic:cNvPicPr>
                  </pic:nvPicPr>
                  <pic:blipFill>
                    <a:blip r:embed="rId6"/>
                    <a:srcRect/>
                    <a:stretch>
                      <a:fillRect/>
                    </a:stretch>
                  </pic:blipFill>
                  <pic:spPr bwMode="auto">
                    <a:xfrm>
                      <a:off x="0" y="0"/>
                      <a:ext cx="257175" cy="209550"/>
                    </a:xfrm>
                    <a:prstGeom prst="rect">
                      <a:avLst/>
                    </a:prstGeom>
                    <a:noFill/>
                    <a:ln w="9525">
                      <a:noFill/>
                      <a:miter lim="800000"/>
                      <a:headEnd/>
                      <a:tailEnd/>
                    </a:ln>
                  </pic:spPr>
                </pic:pic>
              </a:graphicData>
            </a:graphic>
          </wp:inline>
        </w:drawing>
      </w:r>
      <w:r w:rsidRPr="00800015">
        <w:rPr>
          <w:rFonts w:ascii="Arial" w:eastAsia="Times New Roman" w:hAnsi="Arial" w:cs="Arial"/>
          <w:color w:val="666666"/>
          <w:sz w:val="21"/>
          <w:szCs w:val="21"/>
        </w:rPr>
        <w:t> - размер вреда при превышении значения предельно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r w:rsidRPr="00800015">
        <w:rPr>
          <w:rFonts w:ascii="Arial" w:eastAsia="Times New Roman" w:hAnsi="Arial" w:cs="Arial"/>
          <w:color w:val="666666"/>
          <w:sz w:val="21"/>
          <w:szCs w:val="21"/>
        </w:rPr>
        <w:br/>
        <w:t>     </w:t>
      </w:r>
      <w:r w:rsidRPr="00800015">
        <w:rPr>
          <w:rFonts w:ascii="Arial" w:eastAsia="Times New Roman" w:hAnsi="Arial" w:cs="Arial"/>
          <w:color w:val="666666"/>
          <w:sz w:val="21"/>
          <w:szCs w:val="21"/>
        </w:rPr>
        <w:br/>
        <w:t>     </w:t>
      </w:r>
      <w:r>
        <w:rPr>
          <w:rFonts w:ascii="Arial" w:eastAsia="Times New Roman" w:hAnsi="Arial" w:cs="Arial"/>
          <w:noProof/>
          <w:color w:val="666666"/>
          <w:sz w:val="21"/>
          <w:szCs w:val="21"/>
        </w:rPr>
        <w:drawing>
          <wp:inline distT="0" distB="0" distL="0" distR="0">
            <wp:extent cx="381000" cy="247650"/>
            <wp:effectExtent l="19050" t="0" r="0" b="0"/>
            <wp:docPr id="4" name="Рисунок 4" descr="http://ati.su/documents/HTMLDocs/Laws/934/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ti.su/documents/HTMLDocs/Laws/934/6.3.gif"/>
                    <pic:cNvPicPr>
                      <a:picLocks noChangeAspect="1" noChangeArrowheads="1"/>
                    </pic:cNvPicPr>
                  </pic:nvPicPr>
                  <pic:blipFill>
                    <a:blip r:embed="rId7"/>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800015">
        <w:rPr>
          <w:rFonts w:ascii="Arial" w:eastAsia="Times New Roman" w:hAnsi="Arial" w:cs="Arial"/>
          <w:color w:val="666666"/>
          <w:sz w:val="21"/>
          <w:szCs w:val="21"/>
        </w:rPr>
        <w:t>,</w:t>
      </w:r>
      <w:r w:rsidRPr="00800015">
        <w:rPr>
          <w:rFonts w:ascii="Arial" w:eastAsia="Times New Roman" w:hAnsi="Arial" w:cs="Arial"/>
          <w:color w:val="666666"/>
          <w:sz w:val="21"/>
        </w:rPr>
        <w:t> </w:t>
      </w:r>
      <w:r>
        <w:rPr>
          <w:rFonts w:ascii="Arial" w:eastAsia="Times New Roman" w:hAnsi="Arial" w:cs="Arial"/>
          <w:noProof/>
          <w:color w:val="666666"/>
          <w:sz w:val="21"/>
          <w:szCs w:val="21"/>
        </w:rPr>
        <w:drawing>
          <wp:inline distT="0" distB="0" distL="0" distR="0">
            <wp:extent cx="381000" cy="238125"/>
            <wp:effectExtent l="19050" t="0" r="0" b="0"/>
            <wp:docPr id="5" name="Рисунок 5" descr="http://ati.su/documents/HTMLDocs/Laws/934/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ti.su/documents/HTMLDocs/Laws/934/6.4.gif"/>
                    <pic:cNvPicPr>
                      <a:picLocks noChangeAspect="1" noChangeArrowheads="1"/>
                    </pic:cNvPicPr>
                  </pic:nvPicPr>
                  <pic:blipFill>
                    <a:blip r:embed="rId8"/>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800015">
        <w:rPr>
          <w:rFonts w:ascii="Arial" w:eastAsia="Times New Roman" w:hAnsi="Arial" w:cs="Arial"/>
          <w:color w:val="666666"/>
          <w:sz w:val="21"/>
          <w:szCs w:val="21"/>
        </w:rPr>
        <w:t>,</w:t>
      </w:r>
      <w:r w:rsidRPr="00800015">
        <w:rPr>
          <w:rFonts w:ascii="Arial" w:eastAsia="Times New Roman" w:hAnsi="Arial" w:cs="Arial"/>
          <w:color w:val="666666"/>
          <w:sz w:val="21"/>
        </w:rPr>
        <w:t> </w:t>
      </w:r>
      <w:r>
        <w:rPr>
          <w:rFonts w:ascii="Arial" w:eastAsia="Times New Roman" w:hAnsi="Arial" w:cs="Arial"/>
          <w:noProof/>
          <w:color w:val="666666"/>
          <w:sz w:val="21"/>
          <w:szCs w:val="21"/>
        </w:rPr>
        <w:drawing>
          <wp:inline distT="0" distB="0" distL="0" distR="0">
            <wp:extent cx="542925" cy="238125"/>
            <wp:effectExtent l="19050" t="0" r="9525" b="0"/>
            <wp:docPr id="6" name="Рисунок 6" descr="http://ati.su/documents/HTMLDocs/Laws/934/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ti.su/documents/HTMLDocs/Laws/934/6.5.gif"/>
                    <pic:cNvPicPr>
                      <a:picLocks noChangeAspect="1" noChangeArrowheads="1"/>
                    </pic:cNvPicPr>
                  </pic:nvPicPr>
                  <pic:blipFill>
                    <a:blip r:embed="rId9"/>
                    <a:srcRect/>
                    <a:stretch>
                      <a:fillRect/>
                    </a:stretch>
                  </pic:blipFill>
                  <pic:spPr bwMode="auto">
                    <a:xfrm>
                      <a:off x="0" y="0"/>
                      <a:ext cx="542925" cy="238125"/>
                    </a:xfrm>
                    <a:prstGeom prst="rect">
                      <a:avLst/>
                    </a:prstGeom>
                    <a:noFill/>
                    <a:ln w="9525">
                      <a:noFill/>
                      <a:miter lim="800000"/>
                      <a:headEnd/>
                      <a:tailEnd/>
                    </a:ln>
                  </pic:spPr>
                </pic:pic>
              </a:graphicData>
            </a:graphic>
          </wp:inline>
        </w:drawing>
      </w:r>
      <w:r w:rsidRPr="00800015">
        <w:rPr>
          <w:rFonts w:ascii="Arial" w:eastAsia="Times New Roman" w:hAnsi="Arial" w:cs="Arial"/>
          <w:color w:val="666666"/>
          <w:sz w:val="21"/>
          <w:szCs w:val="21"/>
        </w:rPr>
        <w:t xml:space="preserve"> - </w:t>
      </w:r>
      <w:proofErr w:type="gramStart"/>
      <w:r w:rsidRPr="00800015">
        <w:rPr>
          <w:rFonts w:ascii="Arial" w:eastAsia="Times New Roman" w:hAnsi="Arial" w:cs="Arial"/>
          <w:color w:val="666666"/>
          <w:sz w:val="21"/>
          <w:szCs w:val="21"/>
        </w:rPr>
        <w:t>размер вреда при превышении значений предельно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i - количество осей транспортного средства, по которым имеется превышение предельно допустимых осевых нагрузок;</w:t>
      </w:r>
      <w:proofErr w:type="gramEnd"/>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S - протяженность участка автомобильной дороги (сотни километров);</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w:t>
      </w:r>
      <w:r>
        <w:rPr>
          <w:rFonts w:ascii="Arial" w:eastAsia="Times New Roman" w:hAnsi="Arial" w:cs="Arial"/>
          <w:noProof/>
          <w:color w:val="666666"/>
          <w:sz w:val="21"/>
          <w:szCs w:val="21"/>
        </w:rPr>
        <w:drawing>
          <wp:inline distT="0" distB="0" distL="0" distR="0">
            <wp:extent cx="219075" cy="200025"/>
            <wp:effectExtent l="19050" t="0" r="9525" b="0"/>
            <wp:docPr id="7" name="Рисунок 7" descr="http://ati.su/documents/HTMLDocs/Laws/934/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ti.su/documents/HTMLDocs/Laws/934/6.6.gif"/>
                    <pic:cNvPicPr>
                      <a:picLocks noChangeAspect="1" noChangeArrowheads="1"/>
                    </pic:cNvPicPr>
                  </pic:nvPicPr>
                  <pic:blipFill>
                    <a:blip r:embed="rId10"/>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800015">
        <w:rPr>
          <w:rFonts w:ascii="Arial" w:eastAsia="Times New Roman" w:hAnsi="Arial" w:cs="Arial"/>
          <w:color w:val="666666"/>
          <w:sz w:val="21"/>
          <w:szCs w:val="21"/>
        </w:rPr>
        <w:t> - базовый компенсационный индекс текущего года, рассчитываемый по следующей формуле:</w:t>
      </w:r>
    </w:p>
    <w:p w:rsidR="00800015" w:rsidRPr="00800015" w:rsidRDefault="00800015" w:rsidP="00800015">
      <w:pPr>
        <w:spacing w:after="0" w:line="240" w:lineRule="auto"/>
        <w:rPr>
          <w:rFonts w:ascii="Arial" w:eastAsia="Times New Roman" w:hAnsi="Arial" w:cs="Arial"/>
          <w:color w:val="666666"/>
          <w:sz w:val="21"/>
          <w:szCs w:val="21"/>
        </w:rPr>
      </w:pPr>
    </w:p>
    <w:p w:rsidR="00800015" w:rsidRPr="00800015" w:rsidRDefault="00800015" w:rsidP="00800015">
      <w:pPr>
        <w:spacing w:after="0" w:line="240" w:lineRule="auto"/>
        <w:jc w:val="center"/>
        <w:rPr>
          <w:rFonts w:ascii="Arial" w:eastAsia="Times New Roman" w:hAnsi="Arial" w:cs="Arial"/>
          <w:color w:val="666666"/>
          <w:sz w:val="21"/>
          <w:szCs w:val="21"/>
        </w:rPr>
      </w:pPr>
      <w:r>
        <w:rPr>
          <w:rFonts w:ascii="Arial" w:eastAsia="Times New Roman" w:hAnsi="Arial" w:cs="Arial"/>
          <w:noProof/>
          <w:color w:val="666666"/>
          <w:sz w:val="21"/>
          <w:szCs w:val="21"/>
        </w:rPr>
        <w:drawing>
          <wp:inline distT="0" distB="0" distL="0" distR="0">
            <wp:extent cx="1038225" cy="219075"/>
            <wp:effectExtent l="19050" t="0" r="9525" b="0"/>
            <wp:docPr id="8" name="Рисунок 8" descr="http://ati.su/documents/HTMLDocs/Laws/934/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ti.su/documents/HTMLDocs/Laws/934/6.7.gif"/>
                    <pic:cNvPicPr>
                      <a:picLocks noChangeAspect="1" noChangeArrowheads="1"/>
                    </pic:cNvPicPr>
                  </pic:nvPicPr>
                  <pic:blipFill>
                    <a:blip r:embed="rId11"/>
                    <a:srcRect/>
                    <a:stretch>
                      <a:fillRect/>
                    </a:stretch>
                  </pic:blipFill>
                  <pic:spPr bwMode="auto">
                    <a:xfrm>
                      <a:off x="0" y="0"/>
                      <a:ext cx="1038225" cy="219075"/>
                    </a:xfrm>
                    <a:prstGeom prst="rect">
                      <a:avLst/>
                    </a:prstGeom>
                    <a:noFill/>
                    <a:ln w="9525">
                      <a:noFill/>
                      <a:miter lim="800000"/>
                      <a:headEnd/>
                      <a:tailEnd/>
                    </a:ln>
                  </pic:spPr>
                </pic:pic>
              </a:graphicData>
            </a:graphic>
          </wp:inline>
        </w:drawing>
      </w:r>
    </w:p>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                      </w:t>
      </w:r>
    </w:p>
    <w:p w:rsidR="00800015" w:rsidRPr="00800015" w:rsidRDefault="00800015" w:rsidP="00800015">
      <w:pPr>
        <w:spacing w:after="24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     где:</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w:t>
      </w:r>
      <w:r>
        <w:rPr>
          <w:rFonts w:ascii="Arial" w:eastAsia="Times New Roman" w:hAnsi="Arial" w:cs="Arial"/>
          <w:noProof/>
          <w:color w:val="666666"/>
          <w:sz w:val="21"/>
          <w:szCs w:val="21"/>
        </w:rPr>
        <w:drawing>
          <wp:inline distT="0" distB="0" distL="0" distR="0">
            <wp:extent cx="238125" cy="209550"/>
            <wp:effectExtent l="19050" t="0" r="9525" b="0"/>
            <wp:docPr id="9" name="Рисунок 9" descr="http://ati.su/documents/HTMLDocs/Laws/934/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ti.su/documents/HTMLDocs/Laws/934/6.8.gif"/>
                    <pic:cNvPicPr>
                      <a:picLocks noChangeAspect="1" noChangeArrowheads="1"/>
                    </pic:cNvPicPr>
                  </pic:nvPicPr>
                  <pic:blipFill>
                    <a:blip r:embed="rId12"/>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800015">
        <w:rPr>
          <w:rFonts w:ascii="Arial" w:eastAsia="Times New Roman" w:hAnsi="Arial" w:cs="Arial"/>
          <w:color w:val="666666"/>
          <w:sz w:val="21"/>
          <w:szCs w:val="21"/>
        </w:rPr>
        <w:t> - базовый компенсационный индекс предыдущего года (базовый компенсационный индекс 2008 года принимается равным</w:t>
      </w:r>
      <w:r w:rsidRPr="00800015">
        <w:rPr>
          <w:rFonts w:ascii="Arial" w:eastAsia="Times New Roman" w:hAnsi="Arial" w:cs="Arial"/>
          <w:color w:val="666666"/>
          <w:sz w:val="21"/>
        </w:rPr>
        <w:t> </w:t>
      </w:r>
      <w:r>
        <w:rPr>
          <w:rFonts w:ascii="Arial" w:eastAsia="Times New Roman" w:hAnsi="Arial" w:cs="Arial"/>
          <w:noProof/>
          <w:color w:val="666666"/>
          <w:sz w:val="21"/>
          <w:szCs w:val="21"/>
        </w:rPr>
        <w:drawing>
          <wp:inline distT="0" distB="0" distL="0" distR="0">
            <wp:extent cx="838200" cy="228600"/>
            <wp:effectExtent l="19050" t="0" r="0" b="0"/>
            <wp:docPr id="10" name="Рисунок 10" descr="http://ati.su/documents/HTMLDocs/Laws/934/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ti.su/documents/HTMLDocs/Laws/934/6.11.gif"/>
                    <pic:cNvPicPr>
                      <a:picLocks noChangeAspect="1" noChangeArrowheads="1"/>
                    </pic:cNvPicPr>
                  </pic:nvPicPr>
                  <pic:blipFill>
                    <a:blip r:embed="rId13"/>
                    <a:srcRect/>
                    <a:stretch>
                      <a:fillRect/>
                    </a:stretch>
                  </pic:blipFill>
                  <pic:spPr bwMode="auto">
                    <a:xfrm>
                      <a:off x="0" y="0"/>
                      <a:ext cx="838200" cy="228600"/>
                    </a:xfrm>
                    <a:prstGeom prst="rect">
                      <a:avLst/>
                    </a:prstGeom>
                    <a:noFill/>
                    <a:ln w="9525">
                      <a:noFill/>
                      <a:miter lim="800000"/>
                      <a:headEnd/>
                      <a:tailEnd/>
                    </a:ln>
                  </pic:spPr>
                </pic:pic>
              </a:graphicData>
            </a:graphic>
          </wp:inline>
        </w:drawing>
      </w:r>
      <w:r w:rsidRPr="00800015">
        <w:rPr>
          <w:rFonts w:ascii="Arial" w:eastAsia="Times New Roman" w:hAnsi="Arial" w:cs="Arial"/>
          <w:color w:val="666666"/>
          <w:sz w:val="21"/>
          <w:szCs w:val="21"/>
        </w:rPr>
        <w:br/>
        <w:t>     </w:t>
      </w:r>
      <w:r w:rsidRPr="00800015">
        <w:rPr>
          <w:rFonts w:ascii="Arial" w:eastAsia="Times New Roman" w:hAnsi="Arial" w:cs="Arial"/>
          <w:color w:val="666666"/>
          <w:sz w:val="21"/>
          <w:szCs w:val="21"/>
        </w:rPr>
        <w:br/>
        <w:t>     </w:t>
      </w:r>
      <w:r>
        <w:rPr>
          <w:rFonts w:ascii="Arial" w:eastAsia="Times New Roman" w:hAnsi="Arial" w:cs="Arial"/>
          <w:noProof/>
          <w:color w:val="666666"/>
          <w:sz w:val="21"/>
          <w:szCs w:val="21"/>
        </w:rPr>
        <w:drawing>
          <wp:inline distT="0" distB="0" distL="0" distR="0">
            <wp:extent cx="200025" cy="219075"/>
            <wp:effectExtent l="19050" t="0" r="9525" b="0"/>
            <wp:docPr id="11" name="Рисунок 11" descr="http://ati.su/documents/HTMLDocs/Laws/934/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ti.su/documents/HTMLDocs/Laws/934/6.10.gif"/>
                    <pic:cNvPicPr>
                      <a:picLocks noChangeAspect="1" noChangeArrowheads="1"/>
                    </pic:cNvPicPr>
                  </pic:nvPicPr>
                  <pic:blipFill>
                    <a:blip r:embed="rId14"/>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800015">
        <w:rPr>
          <w:rFonts w:ascii="Arial" w:eastAsia="Times New Roman" w:hAnsi="Arial" w:cs="Arial"/>
          <w:color w:val="666666"/>
          <w:sz w:val="21"/>
          <w:szCs w:val="21"/>
        </w:rPr>
        <w:t xml:space="preserve"> - индекс-дефлятор инвестиций в основной капитал за счет всех источников </w:t>
      </w:r>
      <w:r w:rsidRPr="00800015">
        <w:rPr>
          <w:rFonts w:ascii="Arial" w:eastAsia="Times New Roman" w:hAnsi="Arial" w:cs="Arial"/>
          <w:color w:val="666666"/>
          <w:sz w:val="21"/>
          <w:szCs w:val="21"/>
        </w:rPr>
        <w:lastRenderedPageBreak/>
        <w:t xml:space="preserve">финансирования в части капитального ремонта и </w:t>
      </w:r>
      <w:proofErr w:type="gramStart"/>
      <w:r w:rsidRPr="00800015">
        <w:rPr>
          <w:rFonts w:ascii="Arial" w:eastAsia="Times New Roman" w:hAnsi="Arial" w:cs="Arial"/>
          <w:color w:val="666666"/>
          <w:sz w:val="21"/>
          <w:szCs w:val="21"/>
        </w:rPr>
        <w:t>ремонта</w:t>
      </w:r>
      <w:proofErr w:type="gramEnd"/>
      <w:r w:rsidRPr="00800015">
        <w:rPr>
          <w:rFonts w:ascii="Arial" w:eastAsia="Times New Roman" w:hAnsi="Arial" w:cs="Arial"/>
          <w:color w:val="666666"/>
          <w:sz w:val="21"/>
          <w:szCs w:val="21"/>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8. Средства, полученные в качестве платежей в счет возмещения вреда, подлежат зачислению в доход федерального бюджета, бюджета субъекта Российской Федерации, местных бюджетов, собственника частных автомобильных дорог, если иное не установлено законодательством Российской Федерации.</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Возврат указанных средств осуществляется в порядке, устанавливаемом Министерством финансов Российской Федерации.</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                   </w:t>
      </w:r>
    </w:p>
    <w:p w:rsidR="00800015" w:rsidRPr="00800015" w:rsidRDefault="00800015" w:rsidP="00800015">
      <w:pPr>
        <w:spacing w:after="0" w:line="240" w:lineRule="auto"/>
        <w:jc w:val="right"/>
        <w:rPr>
          <w:rFonts w:ascii="Arial" w:eastAsia="Times New Roman" w:hAnsi="Arial" w:cs="Arial"/>
          <w:color w:val="666666"/>
          <w:sz w:val="21"/>
          <w:szCs w:val="21"/>
        </w:rPr>
      </w:pPr>
      <w:bookmarkStart w:id="0" w:name="att"/>
      <w:bookmarkEnd w:id="0"/>
      <w:r w:rsidRPr="00800015">
        <w:rPr>
          <w:rFonts w:ascii="Arial" w:eastAsia="Times New Roman" w:hAnsi="Arial" w:cs="Arial"/>
          <w:color w:val="666666"/>
          <w:sz w:val="21"/>
          <w:szCs w:val="21"/>
        </w:rPr>
        <w:t>Приложение</w:t>
      </w:r>
      <w:r w:rsidRPr="00800015">
        <w:rPr>
          <w:rFonts w:ascii="Arial" w:eastAsia="Times New Roman" w:hAnsi="Arial" w:cs="Arial"/>
          <w:color w:val="666666"/>
          <w:sz w:val="21"/>
          <w:szCs w:val="21"/>
        </w:rPr>
        <w:br/>
        <w:t>к постановлению Правительства</w:t>
      </w:r>
      <w:r w:rsidRPr="00800015">
        <w:rPr>
          <w:rFonts w:ascii="Arial" w:eastAsia="Times New Roman" w:hAnsi="Arial" w:cs="Arial"/>
          <w:color w:val="666666"/>
          <w:sz w:val="21"/>
          <w:szCs w:val="21"/>
        </w:rPr>
        <w:br/>
        <w:t>Российской Федерации</w:t>
      </w:r>
      <w:r w:rsidRPr="00800015">
        <w:rPr>
          <w:rFonts w:ascii="Arial" w:eastAsia="Times New Roman" w:hAnsi="Arial" w:cs="Arial"/>
          <w:color w:val="666666"/>
          <w:sz w:val="21"/>
          <w:szCs w:val="21"/>
        </w:rPr>
        <w:br/>
        <w:t>от 16 ноября 2009 года</w:t>
      </w:r>
      <w:r w:rsidRPr="00800015">
        <w:rPr>
          <w:rFonts w:ascii="Arial" w:eastAsia="Times New Roman" w:hAnsi="Arial" w:cs="Arial"/>
          <w:color w:val="666666"/>
          <w:sz w:val="21"/>
          <w:szCs w:val="21"/>
        </w:rPr>
        <w:br/>
        <w:t>N 934</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w:t>
      </w:r>
    </w:p>
    <w:p w:rsidR="00800015" w:rsidRPr="00800015" w:rsidRDefault="00800015" w:rsidP="00800015">
      <w:pPr>
        <w:spacing w:after="0" w:line="240" w:lineRule="auto"/>
        <w:jc w:val="center"/>
        <w:rPr>
          <w:rFonts w:ascii="Arial" w:eastAsia="Times New Roman" w:hAnsi="Arial" w:cs="Arial"/>
          <w:b/>
          <w:bCs/>
          <w:color w:val="666666"/>
          <w:sz w:val="29"/>
          <w:szCs w:val="29"/>
        </w:rPr>
      </w:pPr>
      <w:r w:rsidRPr="00800015">
        <w:rPr>
          <w:rFonts w:ascii="Arial" w:eastAsia="Times New Roman" w:hAnsi="Arial" w:cs="Arial"/>
          <w:b/>
          <w:bCs/>
          <w:color w:val="666666"/>
          <w:sz w:val="29"/>
          <w:szCs w:val="29"/>
        </w:rPr>
        <w:t>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w:t>
      </w:r>
      <w:r w:rsidRPr="00800015">
        <w:rPr>
          <w:rFonts w:ascii="Arial" w:eastAsia="Times New Roman" w:hAnsi="Arial" w:cs="Arial"/>
          <w:b/>
          <w:bCs/>
          <w:color w:val="666666"/>
          <w:sz w:val="29"/>
        </w:rPr>
        <w:t> </w:t>
      </w:r>
    </w:p>
    <w:p w:rsidR="00800015" w:rsidRPr="00800015" w:rsidRDefault="00800015" w:rsidP="00800015">
      <w:pPr>
        <w:spacing w:after="0" w:line="240" w:lineRule="auto"/>
        <w:rPr>
          <w:rFonts w:ascii="Arial" w:eastAsia="Times New Roman" w:hAnsi="Arial" w:cs="Arial"/>
          <w:color w:val="666666"/>
          <w:sz w:val="21"/>
          <w:szCs w:val="21"/>
        </w:rPr>
      </w:pPr>
    </w:p>
    <w:p w:rsidR="00800015" w:rsidRPr="00800015" w:rsidRDefault="00800015" w:rsidP="00800015">
      <w:pPr>
        <w:spacing w:after="240" w:line="240" w:lineRule="auto"/>
        <w:jc w:val="right"/>
        <w:rPr>
          <w:rFonts w:ascii="Arial" w:eastAsia="Times New Roman" w:hAnsi="Arial" w:cs="Arial"/>
          <w:color w:val="666666"/>
          <w:sz w:val="21"/>
          <w:szCs w:val="21"/>
        </w:rPr>
      </w:pPr>
      <w:r w:rsidRPr="00800015">
        <w:rPr>
          <w:rFonts w:ascii="Arial" w:eastAsia="Times New Roman" w:hAnsi="Arial" w:cs="Arial"/>
          <w:color w:val="666666"/>
          <w:sz w:val="21"/>
          <w:szCs w:val="21"/>
        </w:rPr>
        <w:t>Таблица 1</w:t>
      </w:r>
    </w:p>
    <w:p w:rsidR="00800015" w:rsidRPr="00800015" w:rsidRDefault="00800015" w:rsidP="00800015">
      <w:pPr>
        <w:spacing w:after="290" w:line="240" w:lineRule="auto"/>
        <w:jc w:val="center"/>
        <w:rPr>
          <w:rFonts w:ascii="Arial" w:eastAsia="Times New Roman" w:hAnsi="Arial" w:cs="Arial"/>
          <w:b/>
          <w:bCs/>
          <w:color w:val="666666"/>
          <w:sz w:val="29"/>
          <w:szCs w:val="29"/>
        </w:rPr>
      </w:pPr>
      <w:r w:rsidRPr="00800015">
        <w:rPr>
          <w:rFonts w:ascii="Arial" w:eastAsia="Times New Roman" w:hAnsi="Arial" w:cs="Arial"/>
          <w:b/>
          <w:bCs/>
          <w:color w:val="666666"/>
          <w:sz w:val="29"/>
          <w:szCs w:val="29"/>
        </w:rPr>
        <w:t>Размер вреда при превышении значения предельно допустимой массы транспортного средства</w:t>
      </w:r>
    </w:p>
    <w:tbl>
      <w:tblPr>
        <w:tblW w:w="0" w:type="auto"/>
        <w:tblCellSpacing w:w="15" w:type="dxa"/>
        <w:tblCellMar>
          <w:top w:w="15" w:type="dxa"/>
          <w:left w:w="15" w:type="dxa"/>
          <w:bottom w:w="15" w:type="dxa"/>
          <w:right w:w="15" w:type="dxa"/>
        </w:tblCellMar>
        <w:tblLook w:val="04A0"/>
      </w:tblPr>
      <w:tblGrid>
        <w:gridCol w:w="4893"/>
        <w:gridCol w:w="4552"/>
      </w:tblGrid>
      <w:tr w:rsidR="00800015" w:rsidRPr="00800015" w:rsidTr="00800015">
        <w:trPr>
          <w:tblCellSpacing w:w="15" w:type="dxa"/>
        </w:trPr>
        <w:tc>
          <w:tcPr>
            <w:tcW w:w="5914" w:type="dxa"/>
            <w:vAlign w:val="center"/>
            <w:hideMark/>
          </w:tcPr>
          <w:p w:rsidR="00800015" w:rsidRPr="00800015" w:rsidRDefault="00800015" w:rsidP="00800015">
            <w:pPr>
              <w:spacing w:after="0" w:line="240" w:lineRule="auto"/>
              <w:rPr>
                <w:rFonts w:ascii="Verdana" w:eastAsia="Times New Roman" w:hAnsi="Verdana" w:cs="Times New Roman"/>
                <w:color w:val="666666"/>
                <w:sz w:val="17"/>
                <w:szCs w:val="17"/>
              </w:rPr>
            </w:pPr>
            <w:r w:rsidRPr="00800015">
              <w:rPr>
                <w:rFonts w:ascii="Verdana" w:eastAsia="Times New Roman" w:hAnsi="Verdana" w:cs="Times New Roman"/>
                <w:color w:val="666666"/>
                <w:sz w:val="17"/>
                <w:szCs w:val="17"/>
              </w:rPr>
              <w:t> </w:t>
            </w:r>
          </w:p>
        </w:tc>
        <w:tc>
          <w:tcPr>
            <w:tcW w:w="5544" w:type="dxa"/>
            <w:vAlign w:val="center"/>
            <w:hideMark/>
          </w:tcPr>
          <w:p w:rsidR="00800015" w:rsidRPr="00800015" w:rsidRDefault="00800015" w:rsidP="00800015">
            <w:pPr>
              <w:spacing w:after="0" w:line="240" w:lineRule="auto"/>
              <w:rPr>
                <w:rFonts w:ascii="Verdana" w:eastAsia="Times New Roman" w:hAnsi="Verdana" w:cs="Times New Roman"/>
                <w:color w:val="666666"/>
                <w:sz w:val="17"/>
                <w:szCs w:val="17"/>
              </w:rPr>
            </w:pP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Превышение предельно допустимой массы транспортного средства (тонн)</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Размер вреда (рублей на 100 км)</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До 5</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240</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5 до 7</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285</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7 до 10</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395</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10 до 15</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550</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15 до 20</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760</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20 до 25</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1035</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25 до 30</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1365</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30 до 35</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1730</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lastRenderedPageBreak/>
              <w:t>Свыше 35 до 40</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2155</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40 до 45</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2670</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45 до 50</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3255</w:t>
            </w:r>
            <w:r w:rsidRPr="00800015">
              <w:rPr>
                <w:rFonts w:ascii="Arial" w:eastAsia="Times New Roman" w:hAnsi="Arial" w:cs="Arial"/>
                <w:color w:val="666666"/>
                <w:sz w:val="21"/>
              </w:rPr>
              <w:t> </w:t>
            </w:r>
          </w:p>
        </w:tc>
      </w:tr>
      <w:tr w:rsidR="00800015" w:rsidRPr="00800015" w:rsidTr="00800015">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50</w:t>
            </w:r>
            <w:r w:rsidRPr="00800015">
              <w:rPr>
                <w:rFonts w:ascii="Arial" w:eastAsia="Times New Roman" w:hAnsi="Arial" w:cs="Arial"/>
                <w:color w:val="666666"/>
                <w:sz w:val="21"/>
              </w:rPr>
              <w:t> </w:t>
            </w:r>
          </w:p>
        </w:tc>
        <w:tc>
          <w:tcPr>
            <w:tcW w:w="554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по отдельному расчету*</w:t>
            </w:r>
          </w:p>
        </w:tc>
      </w:tr>
    </w:tbl>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________________</w:t>
      </w:r>
    </w:p>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 xml:space="preserve">     * Расчет размера вреда осуществляется с применением </w:t>
      </w:r>
      <w:proofErr w:type="gramStart"/>
      <w:r w:rsidRPr="00800015">
        <w:rPr>
          <w:rFonts w:ascii="Arial" w:eastAsia="Times New Roman" w:hAnsi="Arial" w:cs="Arial"/>
          <w:color w:val="666666"/>
          <w:sz w:val="21"/>
          <w:szCs w:val="21"/>
        </w:rPr>
        <w:t>метода математической экстраполяции значений размера вреда</w:t>
      </w:r>
      <w:proofErr w:type="gramEnd"/>
      <w:r w:rsidRPr="00800015">
        <w:rPr>
          <w:rFonts w:ascii="Arial" w:eastAsia="Times New Roman" w:hAnsi="Arial" w:cs="Arial"/>
          <w:color w:val="666666"/>
          <w:sz w:val="21"/>
          <w:szCs w:val="21"/>
        </w:rPr>
        <w:t xml:space="preserve"> при превышении значения предельно допустимой массы транспортного средства.</w:t>
      </w:r>
      <w:r w:rsidRPr="00800015">
        <w:rPr>
          <w:rFonts w:ascii="Arial" w:eastAsia="Times New Roman" w:hAnsi="Arial" w:cs="Arial"/>
          <w:color w:val="666666"/>
          <w:sz w:val="21"/>
          <w:szCs w:val="21"/>
        </w:rPr>
        <w:br/>
      </w:r>
      <w:r w:rsidRPr="00800015">
        <w:rPr>
          <w:rFonts w:ascii="Arial" w:eastAsia="Times New Roman" w:hAnsi="Arial" w:cs="Arial"/>
          <w:color w:val="666666"/>
          <w:sz w:val="21"/>
          <w:szCs w:val="21"/>
        </w:rPr>
        <w:br/>
        <w:t>     </w:t>
      </w:r>
    </w:p>
    <w:p w:rsidR="00800015" w:rsidRPr="00800015" w:rsidRDefault="00800015" w:rsidP="00800015">
      <w:pPr>
        <w:spacing w:after="240" w:line="240" w:lineRule="auto"/>
        <w:jc w:val="right"/>
        <w:rPr>
          <w:rFonts w:ascii="Arial" w:eastAsia="Times New Roman" w:hAnsi="Arial" w:cs="Arial"/>
          <w:color w:val="666666"/>
          <w:sz w:val="21"/>
          <w:szCs w:val="21"/>
        </w:rPr>
      </w:pPr>
      <w:r w:rsidRPr="00800015">
        <w:rPr>
          <w:rFonts w:ascii="Arial" w:eastAsia="Times New Roman" w:hAnsi="Arial" w:cs="Arial"/>
          <w:color w:val="666666"/>
          <w:sz w:val="21"/>
          <w:szCs w:val="21"/>
        </w:rPr>
        <w:t>Таблица 2</w:t>
      </w:r>
    </w:p>
    <w:p w:rsidR="00800015" w:rsidRPr="00800015" w:rsidRDefault="00800015" w:rsidP="00800015">
      <w:pPr>
        <w:spacing w:after="290" w:line="240" w:lineRule="auto"/>
        <w:jc w:val="center"/>
        <w:rPr>
          <w:rFonts w:ascii="Arial" w:eastAsia="Times New Roman" w:hAnsi="Arial" w:cs="Arial"/>
          <w:b/>
          <w:bCs/>
          <w:color w:val="666666"/>
          <w:sz w:val="29"/>
          <w:szCs w:val="29"/>
        </w:rPr>
      </w:pPr>
      <w:r w:rsidRPr="00800015">
        <w:rPr>
          <w:rFonts w:ascii="Arial" w:eastAsia="Times New Roman" w:hAnsi="Arial" w:cs="Arial"/>
          <w:b/>
          <w:bCs/>
          <w:color w:val="666666"/>
          <w:sz w:val="29"/>
          <w:szCs w:val="29"/>
        </w:rPr>
        <w:t>Размер вреда при превышении значений предельно допустимых осевых нагрузок на каждую ось транспортного средства</w:t>
      </w:r>
    </w:p>
    <w:tbl>
      <w:tblPr>
        <w:tblW w:w="0" w:type="auto"/>
        <w:tblCellSpacing w:w="15" w:type="dxa"/>
        <w:tblCellMar>
          <w:top w:w="15" w:type="dxa"/>
          <w:left w:w="15" w:type="dxa"/>
          <w:bottom w:w="15" w:type="dxa"/>
          <w:right w:w="15" w:type="dxa"/>
        </w:tblCellMar>
        <w:tblLook w:val="04A0"/>
      </w:tblPr>
      <w:tblGrid>
        <w:gridCol w:w="3790"/>
        <w:gridCol w:w="2328"/>
        <w:gridCol w:w="3327"/>
      </w:tblGrid>
      <w:tr w:rsidR="00800015" w:rsidRPr="00800015" w:rsidTr="00800015">
        <w:trPr>
          <w:tblCellSpacing w:w="15" w:type="dxa"/>
        </w:trPr>
        <w:tc>
          <w:tcPr>
            <w:tcW w:w="4805" w:type="dxa"/>
            <w:vAlign w:val="center"/>
            <w:hideMark/>
          </w:tcPr>
          <w:p w:rsidR="00800015" w:rsidRPr="00800015" w:rsidRDefault="00800015" w:rsidP="00800015">
            <w:pPr>
              <w:spacing w:after="0" w:line="240" w:lineRule="auto"/>
              <w:rPr>
                <w:rFonts w:ascii="Verdana" w:eastAsia="Times New Roman" w:hAnsi="Verdana" w:cs="Times New Roman"/>
                <w:color w:val="666666"/>
                <w:sz w:val="17"/>
                <w:szCs w:val="17"/>
              </w:rPr>
            </w:pPr>
            <w:r w:rsidRPr="00800015">
              <w:rPr>
                <w:rFonts w:ascii="Verdana" w:eastAsia="Times New Roman" w:hAnsi="Verdana" w:cs="Times New Roman"/>
                <w:color w:val="666666"/>
                <w:sz w:val="17"/>
                <w:szCs w:val="17"/>
              </w:rPr>
              <w:t> </w:t>
            </w:r>
          </w:p>
        </w:tc>
        <w:tc>
          <w:tcPr>
            <w:tcW w:w="2957" w:type="dxa"/>
            <w:vAlign w:val="center"/>
            <w:hideMark/>
          </w:tcPr>
          <w:p w:rsidR="00800015" w:rsidRPr="00800015" w:rsidRDefault="00800015" w:rsidP="00800015">
            <w:pPr>
              <w:spacing w:after="0" w:line="240" w:lineRule="auto"/>
              <w:rPr>
                <w:rFonts w:ascii="Verdana" w:eastAsia="Times New Roman" w:hAnsi="Verdana" w:cs="Times New Roman"/>
                <w:color w:val="666666"/>
                <w:sz w:val="17"/>
                <w:szCs w:val="17"/>
              </w:rPr>
            </w:pPr>
          </w:p>
        </w:tc>
        <w:tc>
          <w:tcPr>
            <w:tcW w:w="3881" w:type="dxa"/>
            <w:vAlign w:val="center"/>
            <w:hideMark/>
          </w:tcPr>
          <w:p w:rsidR="00800015" w:rsidRPr="00800015" w:rsidRDefault="00800015" w:rsidP="00800015">
            <w:pPr>
              <w:spacing w:after="0" w:line="240" w:lineRule="auto"/>
              <w:rPr>
                <w:rFonts w:ascii="Verdana" w:eastAsia="Times New Roman" w:hAnsi="Verdana" w:cs="Times New Roman"/>
                <w:color w:val="666666"/>
                <w:sz w:val="17"/>
                <w:szCs w:val="17"/>
              </w:rPr>
            </w:pPr>
          </w:p>
        </w:tc>
      </w:tr>
      <w:tr w:rsidR="00800015" w:rsidRPr="00800015" w:rsidTr="0080001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Превышение предельно допустимых осевых нагрузок на ось транспортного средства (процентов)</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Размер вреда (рублей на 100 км)</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Размер вреда в период временных ограничений в связи с неблагоприятными природно-климатическими условиями (рублей на 100 км)</w:t>
            </w:r>
          </w:p>
        </w:tc>
      </w:tr>
      <w:tr w:rsidR="00800015" w:rsidRPr="00800015" w:rsidTr="0080001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До 10</w:t>
            </w:r>
            <w:r w:rsidRPr="00800015">
              <w:rPr>
                <w:rFonts w:ascii="Arial" w:eastAsia="Times New Roman" w:hAnsi="Arial" w:cs="Arial"/>
                <w:color w:val="666666"/>
                <w:sz w:val="21"/>
              </w:rPr>
              <w:t>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925</w:t>
            </w:r>
            <w:r w:rsidRPr="00800015">
              <w:rPr>
                <w:rFonts w:ascii="Arial" w:eastAsia="Times New Roman" w:hAnsi="Arial" w:cs="Arial"/>
                <w:color w:val="666666"/>
                <w:sz w:val="21"/>
              </w:rPr>
              <w:t>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5260</w:t>
            </w:r>
            <w:r w:rsidRPr="00800015">
              <w:rPr>
                <w:rFonts w:ascii="Arial" w:eastAsia="Times New Roman" w:hAnsi="Arial" w:cs="Arial"/>
                <w:color w:val="666666"/>
                <w:sz w:val="21"/>
              </w:rPr>
              <w:t> </w:t>
            </w:r>
          </w:p>
        </w:tc>
      </w:tr>
      <w:tr w:rsidR="00800015" w:rsidRPr="00800015" w:rsidTr="0080001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10 до 20</w:t>
            </w:r>
            <w:r w:rsidRPr="00800015">
              <w:rPr>
                <w:rFonts w:ascii="Arial" w:eastAsia="Times New Roman" w:hAnsi="Arial" w:cs="Arial"/>
                <w:color w:val="666666"/>
                <w:sz w:val="21"/>
              </w:rPr>
              <w:t>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1120</w:t>
            </w:r>
            <w:r w:rsidRPr="00800015">
              <w:rPr>
                <w:rFonts w:ascii="Arial" w:eastAsia="Times New Roman" w:hAnsi="Arial" w:cs="Arial"/>
                <w:color w:val="666666"/>
                <w:sz w:val="21"/>
              </w:rPr>
              <w:t>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7710</w:t>
            </w:r>
            <w:r w:rsidRPr="00800015">
              <w:rPr>
                <w:rFonts w:ascii="Arial" w:eastAsia="Times New Roman" w:hAnsi="Arial" w:cs="Arial"/>
                <w:color w:val="666666"/>
                <w:sz w:val="21"/>
              </w:rPr>
              <w:t> </w:t>
            </w:r>
          </w:p>
        </w:tc>
      </w:tr>
      <w:tr w:rsidR="00800015" w:rsidRPr="00800015" w:rsidTr="0080001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20 до 30</w:t>
            </w:r>
            <w:r w:rsidRPr="00800015">
              <w:rPr>
                <w:rFonts w:ascii="Arial" w:eastAsia="Times New Roman" w:hAnsi="Arial" w:cs="Arial"/>
                <w:color w:val="666666"/>
                <w:sz w:val="21"/>
              </w:rPr>
              <w:t>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2000</w:t>
            </w:r>
            <w:r w:rsidRPr="00800015">
              <w:rPr>
                <w:rFonts w:ascii="Arial" w:eastAsia="Times New Roman" w:hAnsi="Arial" w:cs="Arial"/>
                <w:color w:val="666666"/>
                <w:sz w:val="21"/>
              </w:rPr>
              <w:t>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10960</w:t>
            </w:r>
            <w:r w:rsidRPr="00800015">
              <w:rPr>
                <w:rFonts w:ascii="Arial" w:eastAsia="Times New Roman" w:hAnsi="Arial" w:cs="Arial"/>
                <w:color w:val="666666"/>
                <w:sz w:val="21"/>
              </w:rPr>
              <w:t> </w:t>
            </w:r>
          </w:p>
        </w:tc>
      </w:tr>
      <w:tr w:rsidR="00800015" w:rsidRPr="00800015" w:rsidTr="0080001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30 до 40</w:t>
            </w:r>
            <w:r w:rsidRPr="00800015">
              <w:rPr>
                <w:rFonts w:ascii="Arial" w:eastAsia="Times New Roman" w:hAnsi="Arial" w:cs="Arial"/>
                <w:color w:val="666666"/>
                <w:sz w:val="21"/>
              </w:rPr>
              <w:t>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3125</w:t>
            </w:r>
            <w:r w:rsidRPr="00800015">
              <w:rPr>
                <w:rFonts w:ascii="Arial" w:eastAsia="Times New Roman" w:hAnsi="Arial" w:cs="Arial"/>
                <w:color w:val="666666"/>
                <w:sz w:val="21"/>
              </w:rPr>
              <w:t>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15190</w:t>
            </w:r>
            <w:r w:rsidRPr="00800015">
              <w:rPr>
                <w:rFonts w:ascii="Arial" w:eastAsia="Times New Roman" w:hAnsi="Arial" w:cs="Arial"/>
                <w:color w:val="666666"/>
                <w:sz w:val="21"/>
              </w:rPr>
              <w:t> </w:t>
            </w:r>
          </w:p>
        </w:tc>
      </w:tr>
      <w:tr w:rsidR="00800015" w:rsidRPr="00800015" w:rsidTr="0080001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40 до 50</w:t>
            </w:r>
            <w:r w:rsidRPr="00800015">
              <w:rPr>
                <w:rFonts w:ascii="Arial" w:eastAsia="Times New Roman" w:hAnsi="Arial" w:cs="Arial"/>
                <w:color w:val="666666"/>
                <w:sz w:val="21"/>
              </w:rPr>
              <w:t>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4105</w:t>
            </w:r>
            <w:r w:rsidRPr="00800015">
              <w:rPr>
                <w:rFonts w:ascii="Arial" w:eastAsia="Times New Roman" w:hAnsi="Arial" w:cs="Arial"/>
                <w:color w:val="666666"/>
                <w:sz w:val="21"/>
              </w:rPr>
              <w:t>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21260</w:t>
            </w:r>
            <w:r w:rsidRPr="00800015">
              <w:rPr>
                <w:rFonts w:ascii="Arial" w:eastAsia="Times New Roman" w:hAnsi="Arial" w:cs="Arial"/>
                <w:color w:val="666666"/>
                <w:sz w:val="21"/>
              </w:rPr>
              <w:t> </w:t>
            </w:r>
          </w:p>
        </w:tc>
      </w:tr>
      <w:tr w:rsidR="00800015" w:rsidRPr="00800015" w:rsidTr="0080001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50 до 60</w:t>
            </w:r>
            <w:r w:rsidRPr="00800015">
              <w:rPr>
                <w:rFonts w:ascii="Arial" w:eastAsia="Times New Roman" w:hAnsi="Arial" w:cs="Arial"/>
                <w:color w:val="666666"/>
                <w:sz w:val="21"/>
              </w:rPr>
              <w:t> </w:t>
            </w:r>
          </w:p>
        </w:tc>
        <w:tc>
          <w:tcPr>
            <w:tcW w:w="295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5215</w:t>
            </w:r>
            <w:r w:rsidRPr="00800015">
              <w:rPr>
                <w:rFonts w:ascii="Arial" w:eastAsia="Times New Roman" w:hAnsi="Arial" w:cs="Arial"/>
                <w:color w:val="666666"/>
                <w:sz w:val="21"/>
              </w:rPr>
              <w:t> </w:t>
            </w:r>
          </w:p>
        </w:tc>
        <w:tc>
          <w:tcPr>
            <w:tcW w:w="3881"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27330</w:t>
            </w:r>
            <w:r w:rsidRPr="00800015">
              <w:rPr>
                <w:rFonts w:ascii="Arial" w:eastAsia="Times New Roman" w:hAnsi="Arial" w:cs="Arial"/>
                <w:color w:val="666666"/>
                <w:sz w:val="21"/>
              </w:rPr>
              <w:t> </w:t>
            </w:r>
          </w:p>
        </w:tc>
      </w:tr>
      <w:tr w:rsidR="00800015" w:rsidRPr="00800015" w:rsidTr="00800015">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Свыше 60</w:t>
            </w:r>
            <w:r w:rsidRPr="00800015">
              <w:rPr>
                <w:rFonts w:ascii="Arial" w:eastAsia="Times New Roman" w:hAnsi="Arial" w:cs="Arial"/>
                <w:color w:val="666666"/>
                <w:sz w:val="21"/>
              </w:rPr>
              <w:t> </w:t>
            </w:r>
          </w:p>
        </w:tc>
        <w:tc>
          <w:tcPr>
            <w:tcW w:w="6838"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800015" w:rsidRPr="00800015" w:rsidRDefault="00800015" w:rsidP="00800015">
            <w:pPr>
              <w:spacing w:after="0" w:line="240" w:lineRule="auto"/>
              <w:jc w:val="center"/>
              <w:rPr>
                <w:rFonts w:ascii="Arial" w:eastAsia="Times New Roman" w:hAnsi="Arial" w:cs="Arial"/>
                <w:color w:val="666666"/>
                <w:sz w:val="21"/>
                <w:szCs w:val="21"/>
              </w:rPr>
            </w:pPr>
            <w:r w:rsidRPr="00800015">
              <w:rPr>
                <w:rFonts w:ascii="Arial" w:eastAsia="Times New Roman" w:hAnsi="Arial" w:cs="Arial"/>
                <w:color w:val="666666"/>
                <w:sz w:val="21"/>
                <w:szCs w:val="21"/>
              </w:rPr>
              <w:t>по отдельному расчету*</w:t>
            </w:r>
          </w:p>
        </w:tc>
      </w:tr>
    </w:tbl>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_______________</w:t>
      </w:r>
    </w:p>
    <w:p w:rsidR="00800015" w:rsidRPr="00800015" w:rsidRDefault="00800015" w:rsidP="00800015">
      <w:pPr>
        <w:spacing w:after="0" w:line="240" w:lineRule="auto"/>
        <w:rPr>
          <w:rFonts w:ascii="Arial" w:eastAsia="Times New Roman" w:hAnsi="Arial" w:cs="Arial"/>
          <w:color w:val="666666"/>
          <w:sz w:val="21"/>
          <w:szCs w:val="21"/>
        </w:rPr>
      </w:pPr>
      <w:r w:rsidRPr="00800015">
        <w:rPr>
          <w:rFonts w:ascii="Arial" w:eastAsia="Times New Roman" w:hAnsi="Arial" w:cs="Arial"/>
          <w:color w:val="666666"/>
          <w:sz w:val="21"/>
          <w:szCs w:val="21"/>
        </w:rPr>
        <w:t xml:space="preserve">     * Расчет размера вреда осуществляется с применением </w:t>
      </w:r>
      <w:proofErr w:type="gramStart"/>
      <w:r w:rsidRPr="00800015">
        <w:rPr>
          <w:rFonts w:ascii="Arial" w:eastAsia="Times New Roman" w:hAnsi="Arial" w:cs="Arial"/>
          <w:color w:val="666666"/>
          <w:sz w:val="21"/>
          <w:szCs w:val="21"/>
        </w:rPr>
        <w:t>метода математической экстраполяции значений размера вреда</w:t>
      </w:r>
      <w:proofErr w:type="gramEnd"/>
      <w:r w:rsidRPr="00800015">
        <w:rPr>
          <w:rFonts w:ascii="Arial" w:eastAsia="Times New Roman" w:hAnsi="Arial" w:cs="Arial"/>
          <w:color w:val="666666"/>
          <w:sz w:val="21"/>
          <w:szCs w:val="21"/>
        </w:rPr>
        <w:t xml:space="preserve"> при превышении значений предельно допустимых осевых нагрузок на каждую ось транспортного средства</w:t>
      </w:r>
    </w:p>
    <w:p w:rsidR="00800015" w:rsidRPr="00800015" w:rsidRDefault="00800015" w:rsidP="00800015">
      <w:pPr>
        <w:jc w:val="center"/>
        <w:rPr>
          <w:rFonts w:ascii="Times New Roman" w:hAnsi="Times New Roman" w:cs="Times New Roman"/>
          <w:sz w:val="24"/>
          <w:szCs w:val="24"/>
        </w:rPr>
      </w:pPr>
    </w:p>
    <w:sectPr w:rsidR="00800015" w:rsidRPr="00800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00015"/>
    <w:rsid w:val="00800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8000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0001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00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0015"/>
  </w:style>
  <w:style w:type="paragraph" w:customStyle="1" w:styleId="unformattext">
    <w:name w:val="unformattext"/>
    <w:basedOn w:val="a"/>
    <w:rsid w:val="008000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00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0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1192</Words>
  <Characters>6797</Characters>
  <Application>Microsoft Office Word</Application>
  <DocSecurity>0</DocSecurity>
  <Lines>56</Lines>
  <Paragraphs>15</Paragraphs>
  <ScaleCrop>false</ScaleCrop>
  <Company>Microsoft</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2018-11-29T05:03:00Z</dcterms:created>
  <dcterms:modified xsi:type="dcterms:W3CDTF">2018-11-29T05:05:00Z</dcterms:modified>
</cp:coreProperties>
</file>